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991" w:rsidRPr="00946BDB" w:rsidRDefault="00FC4526">
      <w:pPr>
        <w:rPr>
          <w:b/>
          <w:sz w:val="36"/>
          <w:szCs w:val="36"/>
        </w:rPr>
      </w:pPr>
      <w:r w:rsidRPr="00946BDB">
        <w:rPr>
          <w:b/>
          <w:sz w:val="36"/>
          <w:szCs w:val="36"/>
        </w:rPr>
        <w:t>Veiledning til varsling om kritikkverdige forhold</w:t>
      </w:r>
    </w:p>
    <w:p w:rsidR="00FC4526" w:rsidRDefault="00FC4526">
      <w:r>
        <w:t>Varslingsrutiner for de som er ansatt i Horten kirkelige fellesråd og rettssubjektet Den norske kirke – Tunsberg bispedømme.</w:t>
      </w:r>
    </w:p>
    <w:p w:rsidR="00DA11BC" w:rsidRDefault="00DA11BC">
      <w:r w:rsidRPr="000F2433">
        <w:rPr>
          <w:b/>
          <w:sz w:val="28"/>
          <w:szCs w:val="28"/>
        </w:rPr>
        <w:t xml:space="preserve">1. </w:t>
      </w:r>
      <w:r w:rsidR="008106B8">
        <w:rPr>
          <w:b/>
          <w:sz w:val="28"/>
          <w:szCs w:val="28"/>
        </w:rPr>
        <w:t xml:space="preserve"> </w:t>
      </w:r>
      <w:r w:rsidRPr="000F2433">
        <w:rPr>
          <w:b/>
          <w:sz w:val="28"/>
          <w:szCs w:val="28"/>
        </w:rPr>
        <w:t>Varsling</w:t>
      </w:r>
      <w:r>
        <w:br/>
        <w:t>I Den norske kirke – Tunsberg bispedømme, ønsker vi å ha et godt arbeidsmiljø der det legges til rette for varsling. Åpenhet på arbeidsplassen viser en sunn bedriftskultur, som både virksomheten og de ansatte er tjent med.</w:t>
      </w:r>
      <w:r>
        <w:br/>
        <w:t>Varsling handler om arbeidstakernes rett til å varsle om kritikkverdige forhold på arbeidsplassen. Varslingsretten din er nedfelt i arbeidsmiljølovens § 2 A – 1:</w:t>
      </w:r>
    </w:p>
    <w:p w:rsidR="00DA11BC" w:rsidRPr="008C0DE0" w:rsidRDefault="00CE296D" w:rsidP="00DA11BC">
      <w:pPr>
        <w:pStyle w:val="Listeavsnitt"/>
        <w:numPr>
          <w:ilvl w:val="0"/>
          <w:numId w:val="1"/>
        </w:numPr>
      </w:pPr>
      <w:r>
        <w:rPr>
          <w:i/>
        </w:rPr>
        <w:t>Arbeidstaker har rett til å varsle om kritikkverdige forhold i arbeidsgivers virksomhet. Innleid arbeidstaker har også rett til å varsle om kritikkverdige forhold i virksomheten til innleier.</w:t>
      </w:r>
    </w:p>
    <w:p w:rsidR="00A53A93" w:rsidRPr="00A53A93" w:rsidRDefault="00CE296D" w:rsidP="00A53A93">
      <w:pPr>
        <w:pStyle w:val="Listeavsnitt"/>
        <w:numPr>
          <w:ilvl w:val="0"/>
          <w:numId w:val="1"/>
        </w:numPr>
        <w:rPr>
          <w:i/>
        </w:rPr>
      </w:pPr>
      <w:r w:rsidRPr="00CE296D">
        <w:rPr>
          <w:i/>
        </w:rPr>
        <w:t xml:space="preserve">Arbeidstakers fremgangsmåte </w:t>
      </w:r>
      <w:r>
        <w:rPr>
          <w:i/>
        </w:rPr>
        <w:t>ved varslingen skal være forsvarlig. Arbeidstaker har uansett rett til å varsle i samsvar med varslingsplikt eller virksomhetens rutiner for var</w:t>
      </w:r>
      <w:r w:rsidR="00AC3661">
        <w:rPr>
          <w:i/>
        </w:rPr>
        <w:t>s</w:t>
      </w:r>
      <w:r>
        <w:rPr>
          <w:i/>
        </w:rPr>
        <w:t>ling. Det samme gjelder</w:t>
      </w:r>
      <w:r w:rsidR="00A53A93">
        <w:rPr>
          <w:i/>
        </w:rPr>
        <w:t xml:space="preserve"> varsling til tilsynsmyndigheter eller andre offentlige myndigheter.</w:t>
      </w:r>
    </w:p>
    <w:p w:rsidR="00A53A93" w:rsidRDefault="00857B3E" w:rsidP="00A53A93">
      <w:pPr>
        <w:pStyle w:val="Listeavsnitt"/>
        <w:numPr>
          <w:ilvl w:val="0"/>
          <w:numId w:val="1"/>
        </w:numPr>
        <w:rPr>
          <w:i/>
        </w:rPr>
      </w:pPr>
      <w:r>
        <w:rPr>
          <w:i/>
        </w:rPr>
        <w:t>Arbeidsgiver har bevisbyrden for at varsling har skjedd i strid med denne bestemmelsen.</w:t>
      </w:r>
    </w:p>
    <w:p w:rsidR="00857B3E" w:rsidRDefault="00857B3E" w:rsidP="00857B3E">
      <w:r>
        <w:t>Samtidig som arbeidstakerne gjennom denne bestemmelsen i arbeidsmiljøloven er gitt en rett til å varsle, fremgår det av arbeidsmiljølovens § 2 A – 3 at arbeidsgiver har en plikt til å utarbeide rutiner for intern varsling i samsvar med § 2 A – 1.</w:t>
      </w:r>
    </w:p>
    <w:p w:rsidR="00AF13E5" w:rsidRPr="0035460A" w:rsidRDefault="00AF13E5" w:rsidP="00857B3E">
      <w:pPr>
        <w:rPr>
          <w:b/>
          <w:sz w:val="10"/>
          <w:szCs w:val="10"/>
        </w:rPr>
      </w:pPr>
    </w:p>
    <w:p w:rsidR="00857B3E" w:rsidRDefault="00857B3E" w:rsidP="00857B3E">
      <w:r w:rsidRPr="000F2433">
        <w:rPr>
          <w:b/>
          <w:sz w:val="28"/>
          <w:szCs w:val="28"/>
        </w:rPr>
        <w:t xml:space="preserve">2. </w:t>
      </w:r>
      <w:r w:rsidR="008106B8">
        <w:rPr>
          <w:b/>
          <w:sz w:val="28"/>
          <w:szCs w:val="28"/>
        </w:rPr>
        <w:t xml:space="preserve"> </w:t>
      </w:r>
      <w:r w:rsidRPr="000F2433">
        <w:rPr>
          <w:b/>
          <w:sz w:val="28"/>
          <w:szCs w:val="28"/>
        </w:rPr>
        <w:t>Hva kan du varsle om?</w:t>
      </w:r>
      <w:r>
        <w:br/>
      </w:r>
      <w:r w:rsidR="00340EA3">
        <w:t xml:space="preserve">Arbeidsmiljølovens § 2 A – 1 sier at man kan varsle om </w:t>
      </w:r>
      <w:r w:rsidR="00B31189">
        <w:t>«</w:t>
      </w:r>
      <w:r w:rsidR="00340EA3">
        <w:t>kritikkverdige forhold i virksomheten</w:t>
      </w:r>
      <w:r w:rsidR="00B31189">
        <w:t>»</w:t>
      </w:r>
      <w:r w:rsidR="00340EA3">
        <w:t>. Kritikkverdige forhold omfatter blant annet brudd på lover, forskrifter, virksomhetsinterne retningslinjer eller etiske normer.</w:t>
      </w:r>
    </w:p>
    <w:p w:rsidR="00340EA3" w:rsidRDefault="00626A6F" w:rsidP="00857B3E">
      <w:r>
        <w:t>Eksempler på kritikkverdige forhold</w:t>
      </w:r>
      <w:r w:rsidR="00B428F6">
        <w:t xml:space="preserve"> det kan varsles om er: straffbare forhold, brudd på rettslige forpliktelser, brudd på virksomhetens interne retningslinjer, uforsvarlig saksbehandling eller tjenesteutøvelse, mobbing, trakassering, utilbørlig opptreden eller annen uetisk eller kritikkverdig atferd. Listen er ikke uttømmende.</w:t>
      </w:r>
    </w:p>
    <w:p w:rsidR="00B428F6" w:rsidRPr="0035460A" w:rsidRDefault="00B428F6" w:rsidP="00857B3E">
      <w:pPr>
        <w:rPr>
          <w:sz w:val="10"/>
          <w:szCs w:val="10"/>
        </w:rPr>
      </w:pPr>
    </w:p>
    <w:p w:rsidR="00AF13E5" w:rsidRDefault="00AF13E5" w:rsidP="00857B3E">
      <w:r w:rsidRPr="00F4585D">
        <w:rPr>
          <w:b/>
          <w:sz w:val="28"/>
          <w:szCs w:val="28"/>
        </w:rPr>
        <w:t xml:space="preserve">3. </w:t>
      </w:r>
      <w:r w:rsidR="008106B8">
        <w:rPr>
          <w:b/>
          <w:sz w:val="28"/>
          <w:szCs w:val="28"/>
        </w:rPr>
        <w:t xml:space="preserve"> </w:t>
      </w:r>
      <w:r w:rsidRPr="00F4585D">
        <w:rPr>
          <w:b/>
          <w:sz w:val="28"/>
          <w:szCs w:val="28"/>
        </w:rPr>
        <w:t>Hvordan kan arbeidstakere varsle om kritikkverdige forhold?</w:t>
      </w:r>
      <w:r w:rsidRPr="00F4585D">
        <w:rPr>
          <w:b/>
          <w:sz w:val="28"/>
          <w:szCs w:val="28"/>
        </w:rPr>
        <w:br/>
      </w:r>
      <w:r>
        <w:t xml:space="preserve">Det stilles ikke bestemte krav til hvordan det skal varsles. Det eneste loven krever er at varslingen skjer på en </w:t>
      </w:r>
      <w:r w:rsidR="00B31189">
        <w:t>forsvarlig måte (se nedenfor, pkt. 5). I noen tilfeller kan det være et alternativ å melde saken som et HMS-avvik.</w:t>
      </w:r>
      <w:r w:rsidR="00B31189">
        <w:br/>
        <w:t xml:space="preserve">Det bør varsles skriftlig. Det er et eget skjema som kan brukes </w:t>
      </w:r>
      <w:r w:rsidR="00AC3661">
        <w:t>ved</w:t>
      </w:r>
      <w:r w:rsidR="00B31189">
        <w:t xml:space="preserve"> varsling, og man kan bruke e-post eller bre</w:t>
      </w:r>
      <w:r w:rsidR="009A2963">
        <w:t>v (slikt varsel bør inneholde ordet «varsling» i emnefeltet eller overskrift).</w:t>
      </w:r>
      <w:r w:rsidR="009A2963">
        <w:br/>
        <w:t>Det kan varsles muntlig per telefon eller ved direkte kontakt med leder, dennes overordnede, verneombud eller tillitsvalgt. Verneombud og tillitsvalgt bringer varselet videre til rett nivå i virksomheten.</w:t>
      </w:r>
      <w:r w:rsidR="009A2963">
        <w:br/>
        <w:t>For rett saksbehandling</w:t>
      </w:r>
      <w:r w:rsidR="00274407">
        <w:t xml:space="preserve"> må varselet på et tidspunkt </w:t>
      </w:r>
      <w:proofErr w:type="spellStart"/>
      <w:r w:rsidR="00274407">
        <w:t>skriftliggjøres</w:t>
      </w:r>
      <w:proofErr w:type="spellEnd"/>
      <w:r w:rsidR="00274407">
        <w:t>.</w:t>
      </w:r>
      <w:r w:rsidR="00274407">
        <w:br/>
        <w:t>Det kan varsles anonymt, men åpenhet er ønskelig og vil bedre saksbehandlingen. Varslerens identitet skal behandles fortrolig av alle involverte parter.</w:t>
      </w:r>
      <w:r w:rsidR="00274407">
        <w:br/>
      </w:r>
      <w:r w:rsidR="00436048">
        <w:t xml:space="preserve">Anonyme anklager mot ansatte, vil sjeldent kunne føre til at forhold rettes. Det vil ofte være nødvendig at den som mottar varslingen vet hvem som har varslet, slik at nærmere informasjon kan innhentes ved behov. For å kunne følge opp saken, vil arbeidsgiver i de fleste saker trenge å vite </w:t>
      </w:r>
      <w:r w:rsidR="00436048">
        <w:lastRenderedPageBreak/>
        <w:t>hvem som varsler. Vernet mot gjengjeldelse skal redusere behovet for å varsle anonymt (se nedenfor, pkt. 6).</w:t>
      </w:r>
    </w:p>
    <w:p w:rsidR="00436048" w:rsidRPr="00436048" w:rsidRDefault="00436048" w:rsidP="00857B3E">
      <w:pPr>
        <w:rPr>
          <w:sz w:val="10"/>
          <w:szCs w:val="10"/>
        </w:rPr>
      </w:pPr>
    </w:p>
    <w:p w:rsidR="00B87B9E" w:rsidRDefault="00436048" w:rsidP="00857B3E">
      <w:r w:rsidRPr="00863638">
        <w:rPr>
          <w:b/>
          <w:sz w:val="28"/>
          <w:szCs w:val="28"/>
        </w:rPr>
        <w:t>4.</w:t>
      </w:r>
      <w:r w:rsidR="008106B8">
        <w:rPr>
          <w:b/>
          <w:sz w:val="28"/>
          <w:szCs w:val="28"/>
        </w:rPr>
        <w:t xml:space="preserve"> </w:t>
      </w:r>
      <w:r w:rsidRPr="00863638">
        <w:rPr>
          <w:b/>
          <w:sz w:val="28"/>
          <w:szCs w:val="28"/>
        </w:rPr>
        <w:t xml:space="preserve"> Varslingskanaler</w:t>
      </w:r>
      <w:r>
        <w:br/>
      </w:r>
      <w:r w:rsidR="00863638" w:rsidRPr="00B87B9E">
        <w:rPr>
          <w:b/>
        </w:rPr>
        <w:t>De ordinære kanalene for varsling</w:t>
      </w:r>
      <w:r w:rsidR="00863638">
        <w:br/>
        <w:t>Kritikkverdige forhold som bør undersøkes nærmere</w:t>
      </w:r>
      <w:r w:rsidR="001D4B7D">
        <w:t xml:space="preserve"> eller som nødvendiggjør tiltak, varsles til nærmeste leder.</w:t>
      </w:r>
      <w:r w:rsidR="001D4B7D">
        <w:br/>
        <w:t>Gjelder varslingen egen leder eller leder ikke gjør noe med forholdet, kan det varsles forbi leder til dennes overordnede.</w:t>
      </w:r>
      <w:r w:rsidR="001D4B7D">
        <w:br/>
        <w:t>Dersom var</w:t>
      </w:r>
      <w:r w:rsidR="00AC3661">
        <w:t>s</w:t>
      </w:r>
      <w:r w:rsidR="001D4B7D">
        <w:t>ling i linjen vurderes som utilstrekkelig, eller arbeidstaker ikke ønsker å ta opp forholdene på egen arbeidsplass, kan det varsles til tillitsvalgte eller verneombud. Disse må imidlertid bringe varselet videre til arbeidsgiver.</w:t>
      </w:r>
    </w:p>
    <w:p w:rsidR="00436048" w:rsidRPr="00B87B9E" w:rsidRDefault="001D4B7D" w:rsidP="00857B3E">
      <w:pPr>
        <w:rPr>
          <w:u w:val="single"/>
        </w:rPr>
      </w:pPr>
      <w:r w:rsidRPr="00B87B9E">
        <w:rPr>
          <w:u w:val="single"/>
        </w:rPr>
        <w:t>De ordinære kanalene for varsling er således:</w:t>
      </w:r>
    </w:p>
    <w:p w:rsidR="001D4B7D" w:rsidRDefault="008B32E9" w:rsidP="001D4B7D">
      <w:pPr>
        <w:pStyle w:val="Listeavsnitt"/>
        <w:numPr>
          <w:ilvl w:val="0"/>
          <w:numId w:val="2"/>
        </w:numPr>
      </w:pPr>
      <w:r>
        <w:t>Ledelsen i linjen (nærmeste leder)</w:t>
      </w:r>
    </w:p>
    <w:p w:rsidR="008B32E9" w:rsidRDefault="008B32E9" w:rsidP="001D4B7D">
      <w:pPr>
        <w:pStyle w:val="Listeavsnitt"/>
        <w:numPr>
          <w:ilvl w:val="0"/>
          <w:numId w:val="2"/>
        </w:numPr>
      </w:pPr>
      <w:r>
        <w:t>Tillitsvalgte</w:t>
      </w:r>
    </w:p>
    <w:p w:rsidR="008B32E9" w:rsidRDefault="008B32E9" w:rsidP="001D4B7D">
      <w:pPr>
        <w:pStyle w:val="Listeavsnitt"/>
        <w:numPr>
          <w:ilvl w:val="0"/>
          <w:numId w:val="2"/>
        </w:numPr>
      </w:pPr>
      <w:r>
        <w:t>Verneombud</w:t>
      </w:r>
    </w:p>
    <w:p w:rsidR="008B32E9" w:rsidRDefault="003D47B5" w:rsidP="008B32E9">
      <w:r>
        <w:t>For ansatte i rettssubjektet Den norske kirke gjelder følgende ledelseslinje:</w:t>
      </w:r>
    </w:p>
    <w:p w:rsidR="006739B6" w:rsidRDefault="003D47B5" w:rsidP="008B32E9">
      <w:r>
        <w:t>Arbeidstaker i prestetjenesten</w:t>
      </w:r>
      <w:r>
        <w:br/>
      </w:r>
      <w:r>
        <w:tab/>
        <w:t>Arbeidstaker</w:t>
      </w:r>
      <w:r>
        <w:br/>
      </w:r>
      <w:r>
        <w:tab/>
        <w:t>Prost</w:t>
      </w:r>
      <w:r>
        <w:br/>
      </w:r>
      <w:r>
        <w:tab/>
      </w:r>
      <w:r w:rsidR="006739B6">
        <w:t>Biskop/stiftsdirektør</w:t>
      </w:r>
      <w:r w:rsidR="006739B6">
        <w:br/>
      </w:r>
      <w:r w:rsidR="006739B6">
        <w:tab/>
        <w:t>Kirkerådets direktør (Preses</w:t>
      </w:r>
      <w:r w:rsidR="0024455D">
        <w:rPr>
          <w:rStyle w:val="Fotnotereferanse"/>
        </w:rPr>
        <w:footnoteReference w:id="1"/>
      </w:r>
      <w:r w:rsidR="003C25F7">
        <w:t>)</w:t>
      </w:r>
    </w:p>
    <w:p w:rsidR="00863638" w:rsidRDefault="003C25F7" w:rsidP="00857B3E">
      <w:r w:rsidRPr="00B87B9E">
        <w:rPr>
          <w:b/>
        </w:rPr>
        <w:t>De særskilte kanalene for varsling</w:t>
      </w:r>
      <w:r>
        <w:br/>
        <w:t>Arbeidstaker har alltid anledning</w:t>
      </w:r>
      <w:r w:rsidR="00E42506">
        <w:t xml:space="preserve"> til å varsle tilsynsmyndigheter eller andre offentlige myndigheter, f.eks. Arbeidstilsynet og politiet.</w:t>
      </w:r>
      <w:r w:rsidR="001467D6">
        <w:br/>
        <w:t>For de tilfeller der det avdekkes grove kritikkverdige forhold innen økonomiforvaltningen som ikke tas alvorlig av den øverste administrative ledelsen eller som utføres av denne, vil kontrollutvalget for Den norske kirke være en instans å varsle.</w:t>
      </w:r>
    </w:p>
    <w:p w:rsidR="001467D6" w:rsidRPr="00B87B9E" w:rsidRDefault="001467D6" w:rsidP="00857B3E">
      <w:pPr>
        <w:rPr>
          <w:u w:val="single"/>
        </w:rPr>
      </w:pPr>
      <w:r w:rsidRPr="00B87B9E">
        <w:rPr>
          <w:u w:val="single"/>
        </w:rPr>
        <w:t>De særskilte kanaler for varsling er således:</w:t>
      </w:r>
    </w:p>
    <w:p w:rsidR="001467D6" w:rsidRDefault="001467D6" w:rsidP="001467D6">
      <w:pPr>
        <w:pStyle w:val="Listeavsnitt"/>
        <w:numPr>
          <w:ilvl w:val="0"/>
          <w:numId w:val="3"/>
        </w:numPr>
      </w:pPr>
      <w:r>
        <w:t>Kontrollutvalget for Den norske kirke</w:t>
      </w:r>
    </w:p>
    <w:p w:rsidR="001467D6" w:rsidRDefault="002D3421" w:rsidP="001467D6">
      <w:pPr>
        <w:pStyle w:val="Listeavsnitt"/>
        <w:numPr>
          <w:ilvl w:val="0"/>
          <w:numId w:val="3"/>
        </w:numPr>
      </w:pPr>
      <w:r>
        <w:t>Internrevisor for rettssubjektet Den norske kirke</w:t>
      </w:r>
    </w:p>
    <w:p w:rsidR="002D3421" w:rsidRDefault="002D3421" w:rsidP="001467D6">
      <w:pPr>
        <w:pStyle w:val="Listeavsnitt"/>
        <w:numPr>
          <w:ilvl w:val="0"/>
          <w:numId w:val="3"/>
        </w:numPr>
      </w:pPr>
      <w:r>
        <w:t>Særskilte tilsynsmyndigheter (f.eks. Arbeidstilsynet)</w:t>
      </w:r>
    </w:p>
    <w:p w:rsidR="002D3421" w:rsidRDefault="002D3421" w:rsidP="001467D6">
      <w:pPr>
        <w:pStyle w:val="Listeavsnitt"/>
        <w:numPr>
          <w:ilvl w:val="0"/>
          <w:numId w:val="3"/>
        </w:numPr>
      </w:pPr>
      <w:r>
        <w:t>Politiet</w:t>
      </w:r>
    </w:p>
    <w:p w:rsidR="002D3421" w:rsidRDefault="002D3421" w:rsidP="002D3421">
      <w:r>
        <w:t>Du kan varsle til media i de tilfeller der intern varsling gjennom ordinære eller andre særskilte kanaler ikke virker eller ikke er hensiktsmessig. Varslingen skal uansett være forsvarlig (se pkt. 5). Hvis hendelsen er straffbar, vil du kunne bli oppfordret til å politianmelde forholdet. Arbeidsgiver kan også på eget initiativ velge å politianmelde en sak.</w:t>
      </w:r>
    </w:p>
    <w:p w:rsidR="00FB2D64" w:rsidRDefault="00FB2D64" w:rsidP="002D3421"/>
    <w:p w:rsidR="0037344D" w:rsidRDefault="0037344D">
      <w:pPr>
        <w:rPr>
          <w:b/>
          <w:sz w:val="28"/>
          <w:szCs w:val="28"/>
        </w:rPr>
      </w:pPr>
      <w:r>
        <w:rPr>
          <w:b/>
          <w:sz w:val="28"/>
          <w:szCs w:val="28"/>
        </w:rPr>
        <w:br w:type="page"/>
      </w:r>
    </w:p>
    <w:p w:rsidR="008106B8" w:rsidRDefault="00FB2D64" w:rsidP="002D3421">
      <w:r w:rsidRPr="008106B8">
        <w:rPr>
          <w:b/>
          <w:sz w:val="28"/>
          <w:szCs w:val="28"/>
        </w:rPr>
        <w:lastRenderedPageBreak/>
        <w:t xml:space="preserve">5. </w:t>
      </w:r>
      <w:r w:rsidR="008106B8">
        <w:rPr>
          <w:b/>
          <w:sz w:val="28"/>
          <w:szCs w:val="28"/>
        </w:rPr>
        <w:t xml:space="preserve"> </w:t>
      </w:r>
      <w:r w:rsidRPr="008106B8">
        <w:rPr>
          <w:b/>
          <w:sz w:val="28"/>
          <w:szCs w:val="28"/>
        </w:rPr>
        <w:t>Varslingen skal være forsvarlig</w:t>
      </w:r>
      <w:r w:rsidR="0037344D">
        <w:rPr>
          <w:b/>
          <w:sz w:val="28"/>
          <w:szCs w:val="28"/>
        </w:rPr>
        <w:br/>
      </w:r>
      <w:r w:rsidR="0037344D" w:rsidRPr="0037344D">
        <w:t>D</w:t>
      </w:r>
      <w:r w:rsidRPr="0037344D">
        <w:t>en enkelte arbeidstaker har en romslig</w:t>
      </w:r>
      <w:r w:rsidR="008106B8" w:rsidRPr="0037344D">
        <w:t xml:space="preserve"> margin for </w:t>
      </w:r>
      <w:r w:rsidR="008D0F88">
        <w:t xml:space="preserve">utøvelse av skjønn med hensyn til valg av fremgangsmåte ved varsling </w:t>
      </w:r>
      <w:r w:rsidR="00F20F71">
        <w:t>om kritikkverdige forhold. Men husk at fremgangsmåten ved varslingen alltid må være «forsvarlig» (arbeidsmiljøloven § 2 A – 1 nr. 2). Det vil alltid være forsvarlig å varsle gjennom de ordinære kanaler for varsling (se pkt. 4).</w:t>
      </w:r>
      <w:r w:rsidR="00F20F71">
        <w:br/>
        <w:t>Et sentralt hensyn bak hovedregelen om at det først varsles internt, er at arbeidsgiver skal få reelle muligheter til å gjøre seg kjent med forholdet, mulighet til å vurdere hvordan forholdet bør håndteres og anledning til å følge opp vurderingene.</w:t>
      </w:r>
      <w:r w:rsidR="00F20F71">
        <w:br/>
        <w:t>Ved varsling om kritikkverdige forhold bør du stille deg følgende spørsmål:</w:t>
      </w:r>
    </w:p>
    <w:p w:rsidR="00F20F71" w:rsidRDefault="00F20F71" w:rsidP="00F20F71">
      <w:pPr>
        <w:pStyle w:val="Listeavsnitt"/>
        <w:numPr>
          <w:ilvl w:val="0"/>
          <w:numId w:val="4"/>
        </w:numPr>
      </w:pPr>
      <w:r>
        <w:t>Har jeg grunnlag for kritikken?</w:t>
      </w:r>
    </w:p>
    <w:p w:rsidR="00F20F71" w:rsidRDefault="004B10B7" w:rsidP="00F20F71">
      <w:pPr>
        <w:pStyle w:val="Listeavsnitt"/>
        <w:numPr>
          <w:ilvl w:val="0"/>
          <w:numId w:val="4"/>
        </w:numPr>
      </w:pPr>
      <w:r>
        <w:t>Hvordan bør jeg gå frem?</w:t>
      </w:r>
    </w:p>
    <w:p w:rsidR="004B10B7" w:rsidRDefault="004B10B7" w:rsidP="00F20F71">
      <w:pPr>
        <w:pStyle w:val="Listeavsnitt"/>
        <w:numPr>
          <w:ilvl w:val="0"/>
          <w:numId w:val="4"/>
        </w:numPr>
      </w:pPr>
      <w:r>
        <w:t>Hvem bør jeg si fra til?</w:t>
      </w:r>
    </w:p>
    <w:p w:rsidR="004B10B7" w:rsidRDefault="009B458B" w:rsidP="004B10B7">
      <w:r>
        <w:t>Det er arbeidsgiver som ifølge arbeidsmiljøloven har bevisbyrden for å eventuelt påvise at varslingen ikke har skjedd forsvarlig. Lovens hensikt med å stille et krav om forsvarlighet er ikke å begrense retten til å si fra, men å stille krav til måten varslingen skjer på.</w:t>
      </w:r>
      <w:r>
        <w:br/>
        <w:t>Se for øvrig pkt. 7 om forholdet til taushetsplikt.</w:t>
      </w:r>
    </w:p>
    <w:p w:rsidR="002E0ABE" w:rsidRPr="002E0ABE" w:rsidRDefault="002E0ABE" w:rsidP="004B10B7">
      <w:pPr>
        <w:rPr>
          <w:sz w:val="10"/>
          <w:szCs w:val="10"/>
        </w:rPr>
      </w:pPr>
    </w:p>
    <w:p w:rsidR="00F20F71" w:rsidRDefault="00E36499" w:rsidP="002D3421">
      <w:r w:rsidRPr="00E36499">
        <w:rPr>
          <w:b/>
          <w:sz w:val="28"/>
          <w:szCs w:val="28"/>
        </w:rPr>
        <w:t>6.  Vern mot gjengjeldelse</w:t>
      </w:r>
      <w:r>
        <w:br/>
        <w:t>Arbeidsmiljøloven gir i § 2 A – 2 arbeidstaker et vern mot gjengjeldelse fra arbeidsgiver i forbindelse med en varsling:</w:t>
      </w:r>
    </w:p>
    <w:p w:rsidR="00583952" w:rsidRPr="003E6CC5" w:rsidRDefault="0068498B" w:rsidP="002D3421">
      <w:pPr>
        <w:rPr>
          <w:i/>
        </w:rPr>
      </w:pPr>
      <w:r w:rsidRPr="003E6CC5">
        <w:rPr>
          <w:i/>
        </w:rPr>
        <w:t>Gjengjeldelse mot arbeidstaker som varsler i samsvar med §</w:t>
      </w:r>
      <w:r w:rsidR="009030B7">
        <w:rPr>
          <w:i/>
        </w:rPr>
        <w:t xml:space="preserve"> </w:t>
      </w:r>
      <w:r w:rsidRPr="003E6CC5">
        <w:rPr>
          <w:i/>
        </w:rPr>
        <w:t>2 A-1 er forbudt. Første ledd gjelder tilsvarende ved gjengjeldelse mot arbeidstaker som gir til kjenne at retten til å varsle etter § 2 A – 1 vil bli brukt, for eksempel ved å fremskaffe opplysninger.</w:t>
      </w:r>
    </w:p>
    <w:p w:rsidR="0068498B" w:rsidRDefault="00D652DA" w:rsidP="002D3421">
      <w:r>
        <w:t>Enhver negativ reaksjon fra arbeidsgiver mot en arbeidstaker som har varslet om kritikkverdige forhold, skal i utgangspunktet regnes som gjengjeldelse. Dette dreier seg om både formelle reaksjoner og uformelle reaksjoner.</w:t>
      </w:r>
      <w:r>
        <w:br/>
        <w:t xml:space="preserve">Eksempler </w:t>
      </w:r>
      <w:r w:rsidR="004E3D6D">
        <w:t xml:space="preserve">på ulovlig gjengjeldelse kan være ulike former for mobbing/trakassering/utfrysing, fratakelse av arbeidsoppgaver, at arbeidstaker ikke får naturlig utvikling i lønns- og arbeidsvilkår, oppsigelse eller andre former for negative reaksjoner som har karakter av straff eller sanksjon (jf. </w:t>
      </w:r>
      <w:proofErr w:type="spellStart"/>
      <w:r w:rsidR="004E3D6D">
        <w:t>aml</w:t>
      </w:r>
      <w:proofErr w:type="spellEnd"/>
      <w:r w:rsidR="004E3D6D">
        <w:t xml:space="preserve">. § 2 A – 2). Varslere </w:t>
      </w:r>
      <w:r w:rsidR="00802FC4">
        <w:t>som opplever negative sanksjoner, anbefales straks å orientere tillitsvalgte eller ledelsesnivået over der sanksjonen skjer.</w:t>
      </w:r>
    </w:p>
    <w:p w:rsidR="00802FC4" w:rsidRPr="002E0ABE" w:rsidRDefault="00802FC4" w:rsidP="002D3421">
      <w:pPr>
        <w:rPr>
          <w:sz w:val="10"/>
          <w:szCs w:val="10"/>
        </w:rPr>
      </w:pPr>
    </w:p>
    <w:p w:rsidR="002E0ABE" w:rsidRDefault="002E0ABE" w:rsidP="002D3421">
      <w:r w:rsidRPr="00F548F9">
        <w:rPr>
          <w:b/>
          <w:sz w:val="28"/>
          <w:szCs w:val="28"/>
        </w:rPr>
        <w:t>7.  Er taushetsplikt til hinder for varsling?</w:t>
      </w:r>
      <w:r w:rsidRPr="00F548F9">
        <w:rPr>
          <w:b/>
          <w:sz w:val="28"/>
          <w:szCs w:val="28"/>
        </w:rPr>
        <w:br/>
      </w:r>
      <w:r w:rsidR="00F548F9" w:rsidRPr="00F548F9">
        <w:rPr>
          <w:b/>
        </w:rPr>
        <w:t>Forvaltningsmessig taushetsplikt</w:t>
      </w:r>
      <w:r w:rsidR="00F548F9">
        <w:br/>
        <w:t xml:space="preserve">Ved varsling internt i virksomheten til overordnet eller instans som rutinene for varsling ellers utpeker, </w:t>
      </w:r>
      <w:r w:rsidR="00C17D64">
        <w:t>vil ikke den</w:t>
      </w:r>
      <w:r w:rsidR="009030B7">
        <w:t xml:space="preserve"> generelle</w:t>
      </w:r>
      <w:r w:rsidR="00C17D64">
        <w:t xml:space="preserve"> forvaltningsmessige taushetsplikten etter forvaltningsloven § 13 være en begrensning. Dette så lenge opplysningene formidles på en betryggende måte internt og uten at utenforstående eller andre som ikke er en del av saken får adgang til opplysningene.</w:t>
      </w:r>
    </w:p>
    <w:p w:rsidR="00C17D64" w:rsidRDefault="000F4B11" w:rsidP="002D3421">
      <w:r w:rsidRPr="009E43EE">
        <w:rPr>
          <w:b/>
        </w:rPr>
        <w:t>Yrkesmessig taushetsplikt</w:t>
      </w:r>
      <w:r>
        <w:br/>
        <w:t>Ordinerte prester i Den norske kirke har yrkesmessig taushetsplikt om opplysninger som mottas i sjelesorgsamtaler, jf. straffeloven § 211</w:t>
      </w:r>
    </w:p>
    <w:p w:rsidR="000F4B11" w:rsidRDefault="000F4B11" w:rsidP="002D3421">
      <w:r>
        <w:lastRenderedPageBreak/>
        <w:t>Yrkesmessig taushetsplikt</w:t>
      </w:r>
      <w:r w:rsidR="008B37BC">
        <w:t xml:space="preserve"> gjelder i forhold til alle, både internt i Den norske kirke og eksternt. In</w:t>
      </w:r>
      <w:r w:rsidR="006B19D6">
        <w:t>t</w:t>
      </w:r>
      <w:r w:rsidR="008B37BC">
        <w:t>ernt kan det vurderes</w:t>
      </w:r>
      <w:r w:rsidR="009E43EE">
        <w:t xml:space="preserve"> om det er tjenlig å varsle med tilstrekkelig anonymisering av opplysningene, slik at betroelser og </w:t>
      </w:r>
      <w:proofErr w:type="spellStart"/>
      <w:r w:rsidR="009E43EE">
        <w:t>konfidentforhold</w:t>
      </w:r>
      <w:proofErr w:type="spellEnd"/>
      <w:r w:rsidR="009E43EE">
        <w:t xml:space="preserve"> ikke røpes.</w:t>
      </w:r>
    </w:p>
    <w:p w:rsidR="009E43EE" w:rsidRDefault="00F607FC" w:rsidP="002D3421">
      <w:r>
        <w:t xml:space="preserve">Det kan kun varsles om opplysninger mottatt i sjelesorgsamtaler </w:t>
      </w:r>
      <w:r w:rsidR="00CE21D4">
        <w:t>dersom det foreligger samtykke fra den som har gitt opplysningen. I tillegg kan det varsles for å forhindre at uskyldige blir dømt for straffbare handlinger (straffeloven § 226), avverge visse straffbare handlinger (straffeloven § 196) og i kraft av nødrett (straffeloven § 17).</w:t>
      </w:r>
    </w:p>
    <w:p w:rsidR="00CE21D4" w:rsidRDefault="00CE21D4" w:rsidP="002D3421">
      <w:r w:rsidRPr="008D7680">
        <w:rPr>
          <w:b/>
        </w:rPr>
        <w:t>Avvergeplikt for alvorlige forbrytelser</w:t>
      </w:r>
      <w:r>
        <w:br/>
        <w:t>Avvergeplikten er regulert gjennom Straffelovens § 196 og pålegger alle borgere å avverge en rekke alvorlige forbrytelser. Det gjelder bl.a. grov vold</w:t>
      </w:r>
      <w:r w:rsidR="008D7680">
        <w:t xml:space="preserve"> og seksuelt misbruk. Avvergeplikten gjelder «uten hensyn til taushetsplikt», og setter dermed all slags taushetsplikt til side. Det </w:t>
      </w:r>
      <w:r w:rsidR="00EB557C">
        <w:t>er likevel et begrenset rom for skjønnsutøvelse, i § 196 heter det at man skal avverge «gjennom an</w:t>
      </w:r>
      <w:bookmarkStart w:id="0" w:name="_GoBack"/>
      <w:bookmarkEnd w:id="0"/>
      <w:r w:rsidR="00EB557C">
        <w:t xml:space="preserve">meldelse </w:t>
      </w:r>
      <w:r w:rsidR="00EB557C" w:rsidRPr="00EB557C">
        <w:rPr>
          <w:i/>
        </w:rPr>
        <w:t>eller</w:t>
      </w:r>
      <w:r w:rsidR="00EB557C">
        <w:t xml:space="preserve"> </w:t>
      </w:r>
      <w:r w:rsidR="00EB557C" w:rsidRPr="009030B7">
        <w:rPr>
          <w:i/>
        </w:rPr>
        <w:t>på annen måte</w:t>
      </w:r>
      <w:r w:rsidR="00EB557C">
        <w:t>.» Det er</w:t>
      </w:r>
      <w:r w:rsidR="00852A46">
        <w:t xml:space="preserve"> altså en plikt til å avverge, men man har selv mulighet til å vurdere hvordan dette best gjøres. </w:t>
      </w:r>
      <w:r w:rsidR="00852A46">
        <w:br/>
        <w:t>Avvergeplikten er ikke oppfylt før forbrytelsen virkelig er avverget.</w:t>
      </w:r>
    </w:p>
    <w:p w:rsidR="00852A46" w:rsidRPr="002E70BB" w:rsidRDefault="00852A46" w:rsidP="002D3421">
      <w:pPr>
        <w:rPr>
          <w:sz w:val="10"/>
          <w:szCs w:val="10"/>
        </w:rPr>
      </w:pPr>
    </w:p>
    <w:p w:rsidR="00852A46" w:rsidRDefault="00E3054F" w:rsidP="002D3421">
      <w:r>
        <w:rPr>
          <w:b/>
          <w:sz w:val="28"/>
          <w:szCs w:val="28"/>
        </w:rPr>
        <w:t xml:space="preserve">8.  </w:t>
      </w:r>
      <w:r w:rsidR="00852A46" w:rsidRPr="00E3054F">
        <w:rPr>
          <w:b/>
          <w:sz w:val="28"/>
          <w:szCs w:val="28"/>
        </w:rPr>
        <w:t>Hva skjer etter varsling?</w:t>
      </w:r>
      <w:r w:rsidR="00852A46">
        <w:br/>
        <w:t>Varsler skal innen 14 dager motta en skriftlig bekreftelse på at varsel er mottatt fra den som er ansvarlig for å følge opp det forholdet det varsles om.</w:t>
      </w:r>
      <w:r w:rsidR="00852A46">
        <w:br/>
        <w:t>Den som mottar et varsel, har en oppfølgingsplikt. Undersøkelser og hensiktsmessige tiltak skal gjennomføres uten ugrunnet opphold. Normalt gjelder tilsvarende saksbehandlingsregler som etter forvaltningsloven.</w:t>
      </w:r>
      <w:r w:rsidR="00852A46">
        <w:br/>
      </w:r>
      <w:r w:rsidR="002E70BB">
        <w:t>Når de forhold det er varslet om er undersøkt og behandlet, kan varsler forvente en tilbakemelding om dette fra arbeidsgiver. Dersom varselet viser seg å være grunnløst, skal likevel varsler få en skriftlig forklaring og korrigerende opplysninger.</w:t>
      </w:r>
      <w:r w:rsidR="002E70BB">
        <w:br/>
        <w:t>Ledelsen har ansvar for å ta vare på både varsleren og en som evt. er rammet av varslingen.</w:t>
      </w:r>
      <w:r w:rsidR="002E70BB">
        <w:br/>
        <w:t>Arbeidsmiljøutvalget blir orientert om varsel og oppfølging.</w:t>
      </w:r>
    </w:p>
    <w:p w:rsidR="002E70BB" w:rsidRPr="002E70BB" w:rsidRDefault="002E70BB" w:rsidP="002D3421">
      <w:pPr>
        <w:rPr>
          <w:sz w:val="10"/>
          <w:szCs w:val="10"/>
        </w:rPr>
      </w:pPr>
    </w:p>
    <w:p w:rsidR="002E70BB" w:rsidRDefault="002E70BB" w:rsidP="002D3421">
      <w:r w:rsidRPr="002E70BB">
        <w:rPr>
          <w:b/>
          <w:sz w:val="28"/>
          <w:szCs w:val="28"/>
        </w:rPr>
        <w:t>Mer informasjon finner du her</w:t>
      </w:r>
      <w:r>
        <w:br/>
      </w:r>
      <w:hyperlink r:id="rId7" w:history="1">
        <w:r w:rsidRPr="00334BA5">
          <w:rPr>
            <w:rStyle w:val="Hyperkobling"/>
          </w:rPr>
          <w:t>https://www.arbeidstilsynet.no/tema/varsling/</w:t>
        </w:r>
      </w:hyperlink>
    </w:p>
    <w:p w:rsidR="002E70BB" w:rsidRPr="00583952" w:rsidRDefault="002E70BB" w:rsidP="002D3421"/>
    <w:sectPr w:rsidR="002E70BB" w:rsidRPr="0058395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57C" w:rsidRDefault="00EB557C" w:rsidP="007C172E">
      <w:pPr>
        <w:spacing w:after="0" w:line="240" w:lineRule="auto"/>
      </w:pPr>
      <w:r>
        <w:separator/>
      </w:r>
    </w:p>
  </w:endnote>
  <w:endnote w:type="continuationSeparator" w:id="0">
    <w:p w:rsidR="00EB557C" w:rsidRDefault="00EB557C" w:rsidP="007C1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2182650"/>
      <w:docPartObj>
        <w:docPartGallery w:val="Page Numbers (Bottom of Page)"/>
        <w:docPartUnique/>
      </w:docPartObj>
    </w:sdtPr>
    <w:sdtEndPr/>
    <w:sdtContent>
      <w:p w:rsidR="00EB557C" w:rsidRDefault="00EB557C">
        <w:pPr>
          <w:pStyle w:val="Bunntekst"/>
          <w:jc w:val="right"/>
        </w:pPr>
        <w:r>
          <w:fldChar w:fldCharType="begin"/>
        </w:r>
        <w:r>
          <w:instrText>PAGE   \* MERGEFORMAT</w:instrText>
        </w:r>
        <w:r>
          <w:fldChar w:fldCharType="separate"/>
        </w:r>
        <w:r>
          <w:t>2</w:t>
        </w:r>
        <w:r>
          <w:fldChar w:fldCharType="end"/>
        </w:r>
      </w:p>
    </w:sdtContent>
  </w:sdt>
  <w:p w:rsidR="00EB557C" w:rsidRDefault="00EB557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57C" w:rsidRDefault="00EB557C" w:rsidP="007C172E">
      <w:pPr>
        <w:spacing w:after="0" w:line="240" w:lineRule="auto"/>
      </w:pPr>
      <w:r>
        <w:separator/>
      </w:r>
    </w:p>
  </w:footnote>
  <w:footnote w:type="continuationSeparator" w:id="0">
    <w:p w:rsidR="00EB557C" w:rsidRDefault="00EB557C" w:rsidP="007C172E">
      <w:pPr>
        <w:spacing w:after="0" w:line="240" w:lineRule="auto"/>
      </w:pPr>
      <w:r>
        <w:continuationSeparator/>
      </w:r>
    </w:p>
  </w:footnote>
  <w:footnote w:id="1">
    <w:p w:rsidR="00EB557C" w:rsidRDefault="00EB557C">
      <w:pPr>
        <w:pStyle w:val="Fotnotetekst"/>
      </w:pPr>
      <w:r>
        <w:rPr>
          <w:rStyle w:val="Fotnotereferanse"/>
        </w:rPr>
        <w:footnoteRef/>
      </w:r>
      <w:r>
        <w:t xml:space="preserve"> Hvis varsling gjelder biskop, kan man også henvende seg til preses.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2C6"/>
    <w:multiLevelType w:val="hybridMultilevel"/>
    <w:tmpl w:val="98EC06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EED4ED2"/>
    <w:multiLevelType w:val="hybridMultilevel"/>
    <w:tmpl w:val="06FC36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261218A"/>
    <w:multiLevelType w:val="hybridMultilevel"/>
    <w:tmpl w:val="DF28AF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5F10DDF"/>
    <w:multiLevelType w:val="hybridMultilevel"/>
    <w:tmpl w:val="7AEAE50E"/>
    <w:lvl w:ilvl="0" w:tplc="077096D0">
      <w:start w:val="1"/>
      <w:numFmt w:val="decimal"/>
      <w:lvlText w:val="%1."/>
      <w:lvlJc w:val="left"/>
      <w:pPr>
        <w:ind w:left="720" w:hanging="360"/>
      </w:pPr>
      <w:rPr>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526"/>
    <w:rsid w:val="00074E46"/>
    <w:rsid w:val="000F2433"/>
    <w:rsid w:val="000F4B11"/>
    <w:rsid w:val="001467D6"/>
    <w:rsid w:val="001D4B7D"/>
    <w:rsid w:val="0024455D"/>
    <w:rsid w:val="00274407"/>
    <w:rsid w:val="002D3421"/>
    <w:rsid w:val="002E0ABE"/>
    <w:rsid w:val="002E70BB"/>
    <w:rsid w:val="00340EA3"/>
    <w:rsid w:val="0035460A"/>
    <w:rsid w:val="0037344D"/>
    <w:rsid w:val="003C25F7"/>
    <w:rsid w:val="003D47B5"/>
    <w:rsid w:val="003E6CC5"/>
    <w:rsid w:val="00436048"/>
    <w:rsid w:val="004B10B7"/>
    <w:rsid w:val="004E3D6D"/>
    <w:rsid w:val="00583952"/>
    <w:rsid w:val="00626A6F"/>
    <w:rsid w:val="006739B6"/>
    <w:rsid w:val="0068498B"/>
    <w:rsid w:val="006B19D6"/>
    <w:rsid w:val="00725722"/>
    <w:rsid w:val="007C172E"/>
    <w:rsid w:val="00802FC4"/>
    <w:rsid w:val="008106B8"/>
    <w:rsid w:val="00852A46"/>
    <w:rsid w:val="00857B3E"/>
    <w:rsid w:val="00863638"/>
    <w:rsid w:val="008B32E9"/>
    <w:rsid w:val="008B37BC"/>
    <w:rsid w:val="008C0DE0"/>
    <w:rsid w:val="008D0F88"/>
    <w:rsid w:val="008D7680"/>
    <w:rsid w:val="009030B7"/>
    <w:rsid w:val="00946BDB"/>
    <w:rsid w:val="009A2963"/>
    <w:rsid w:val="009B458B"/>
    <w:rsid w:val="009E43EE"/>
    <w:rsid w:val="00A53A93"/>
    <w:rsid w:val="00AC3661"/>
    <w:rsid w:val="00AF13E5"/>
    <w:rsid w:val="00B31189"/>
    <w:rsid w:val="00B428F6"/>
    <w:rsid w:val="00B87B9E"/>
    <w:rsid w:val="00C10E26"/>
    <w:rsid w:val="00C17D64"/>
    <w:rsid w:val="00CE21D4"/>
    <w:rsid w:val="00CE296D"/>
    <w:rsid w:val="00D652DA"/>
    <w:rsid w:val="00DA11BC"/>
    <w:rsid w:val="00E3054F"/>
    <w:rsid w:val="00E36499"/>
    <w:rsid w:val="00E42506"/>
    <w:rsid w:val="00EB557C"/>
    <w:rsid w:val="00ED3A73"/>
    <w:rsid w:val="00EF3991"/>
    <w:rsid w:val="00F20F71"/>
    <w:rsid w:val="00F4585D"/>
    <w:rsid w:val="00F548F9"/>
    <w:rsid w:val="00F607FC"/>
    <w:rsid w:val="00FB2D64"/>
    <w:rsid w:val="00FC45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53D9F"/>
  <w15:chartTrackingRefBased/>
  <w15:docId w15:val="{05AF329B-2B35-4FBE-9412-08A3701D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A11BC"/>
    <w:pPr>
      <w:ind w:left="720"/>
      <w:contextualSpacing/>
    </w:pPr>
  </w:style>
  <w:style w:type="paragraph" w:styleId="Topptekst">
    <w:name w:val="header"/>
    <w:basedOn w:val="Normal"/>
    <w:link w:val="TopptekstTegn"/>
    <w:uiPriority w:val="99"/>
    <w:unhideWhenUsed/>
    <w:rsid w:val="007C172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C172E"/>
  </w:style>
  <w:style w:type="paragraph" w:styleId="Bunntekst">
    <w:name w:val="footer"/>
    <w:basedOn w:val="Normal"/>
    <w:link w:val="BunntekstTegn"/>
    <w:uiPriority w:val="99"/>
    <w:unhideWhenUsed/>
    <w:rsid w:val="007C172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C172E"/>
  </w:style>
  <w:style w:type="paragraph" w:styleId="Fotnotetekst">
    <w:name w:val="footnote text"/>
    <w:basedOn w:val="Normal"/>
    <w:link w:val="FotnotetekstTegn"/>
    <w:uiPriority w:val="99"/>
    <w:semiHidden/>
    <w:unhideWhenUsed/>
    <w:rsid w:val="0024455D"/>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24455D"/>
    <w:rPr>
      <w:sz w:val="20"/>
      <w:szCs w:val="20"/>
    </w:rPr>
  </w:style>
  <w:style w:type="character" w:styleId="Fotnotereferanse">
    <w:name w:val="footnote reference"/>
    <w:basedOn w:val="Standardskriftforavsnitt"/>
    <w:uiPriority w:val="99"/>
    <w:semiHidden/>
    <w:unhideWhenUsed/>
    <w:rsid w:val="0024455D"/>
    <w:rPr>
      <w:vertAlign w:val="superscript"/>
    </w:rPr>
  </w:style>
  <w:style w:type="character" w:styleId="Hyperkobling">
    <w:name w:val="Hyperlink"/>
    <w:basedOn w:val="Standardskriftforavsnitt"/>
    <w:uiPriority w:val="99"/>
    <w:unhideWhenUsed/>
    <w:rsid w:val="002E70BB"/>
    <w:rPr>
      <w:color w:val="0563C1" w:themeColor="hyperlink"/>
      <w:u w:val="single"/>
    </w:rPr>
  </w:style>
  <w:style w:type="character" w:styleId="Ulstomtale">
    <w:name w:val="Unresolved Mention"/>
    <w:basedOn w:val="Standardskriftforavsnitt"/>
    <w:uiPriority w:val="99"/>
    <w:semiHidden/>
    <w:unhideWhenUsed/>
    <w:rsid w:val="002E70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rbeidstilsynet.no/tema/varsl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4</Pages>
  <Words>1592</Words>
  <Characters>8442</Characters>
  <Application>Microsoft Office Word</Application>
  <DocSecurity>0</DocSecurity>
  <Lines>70</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 Kvello</dc:creator>
  <cp:keywords/>
  <dc:description/>
  <cp:lastModifiedBy>Siri Kvello</cp:lastModifiedBy>
  <cp:revision>66</cp:revision>
  <dcterms:created xsi:type="dcterms:W3CDTF">2020-11-12T12:19:00Z</dcterms:created>
  <dcterms:modified xsi:type="dcterms:W3CDTF">2020-11-23T11:14:00Z</dcterms:modified>
</cp:coreProperties>
</file>